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Adult spinal deformities : an increasing prevalence disease with invalidating consequences</w:t>
      </w:r>
    </w:p>
    <w:p>
      <w:pPr>
        <w:spacing w:before="0" w:after="200" w:line="276"/>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Marco Fazio, MD</w:t>
      </w:r>
    </w:p>
    <w:p>
      <w:pPr>
        <w:spacing w:before="0" w:after="200" w:line="276"/>
        <w:ind w:right="0" w:left="0" w:firstLine="0"/>
        <w:jc w:val="both"/>
        <w:rPr>
          <w:rFonts w:ascii="Arial" w:hAnsi="Arial" w:cs="Arial" w:eastAsia="Arial"/>
          <w:color w:val="auto"/>
          <w:spacing w:val="0"/>
          <w:position w:val="0"/>
          <w:sz w:val="24"/>
          <w:shd w:fill="auto" w:val="clear"/>
        </w:rPr>
      </w:pP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Under the name adult spinal deformity a lot of different conditions are encompassed . The disease actually could be the endPoint of an infection or a trauma but more commonly is a consequence of degenerative cascade affecting the human spine . </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We use to classify degenerative deformity in three types according to Aebi classification. De novo , progressive idiopathic or secondary to a pathological condition. All three conditions are often associated with severe neurological impairment and the role of the surgeon is to arrest or prevent the progression of the neurological damage throug decompression , fixation and correction of the deformity when possible . </w:t>
      </w: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 our institution we use to manage the first and third kind of deformity more commonly , and we address different treatments for different targets: correction and decompression, in situ fusion , or rarely just decompression. An overview of guidelines of treatment is exposed together with our clinical experience.</w:t>
      </w:r>
    </w:p>
    <w:p>
      <w:pPr>
        <w:spacing w:before="0" w:after="200" w:line="276"/>
        <w:ind w:right="0" w:left="0" w:firstLine="0"/>
        <w:jc w:val="both"/>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